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widowControl/>
        <w:numPr>
          <w:ilvl w:val="0"/>
          <w:numId w:val="0"/>
        </w:numPr>
        <w:ind w:hanging="0"/>
        <w:jc w:val="both"/>
        <w:outlineLvl w:val="0"/>
        <w:rPr/>
      </w:pPr>
      <w:r>
        <w:rPr/>
      </w:r>
    </w:p>
    <w:p>
      <w:pPr>
        <w:pStyle w:val="ConsPlusNormal"/>
        <w:widowControl/>
        <w:ind w:hanging="0"/>
        <w:jc w:val="both"/>
        <w:rPr/>
      </w:pPr>
      <w:r>
        <w:rPr/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СОГЛАШЕНИЕ 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задатке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г. Москва                                                                                                                                   дата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Гук Виктор Васильевич</w:t>
      </w:r>
      <w:r>
        <w:rPr>
          <w:sz w:val="22"/>
          <w:szCs w:val="22"/>
        </w:rPr>
        <w:t xml:space="preserve"> (дата рождения: 24.05.1970, место рождения: Брестская область, Березовский район, с. Ярцевичи, ИНН </w:t>
        <w:tab/>
        <w:t xml:space="preserve">672400649549, адрес регистрации: Ростовская область, г. Волгодонск, ул. Беркутянская,46)., </w:t>
      </w:r>
      <w:r>
        <w:rPr>
          <w:sz w:val="22"/>
          <w:szCs w:val="22"/>
        </w:rPr>
        <w:t>в лице финансового управляющего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Миненко Виктор</w:t>
      </w:r>
      <w:r>
        <w:rPr>
          <w:b/>
          <w:bCs/>
          <w:sz w:val="22"/>
          <w:szCs w:val="22"/>
        </w:rPr>
        <w:t>а</w:t>
      </w:r>
      <w:r>
        <w:rPr>
          <w:b/>
          <w:bCs/>
          <w:sz w:val="22"/>
          <w:szCs w:val="22"/>
        </w:rPr>
        <w:t xml:space="preserve"> Юрьевич</w:t>
      </w:r>
      <w:r>
        <w:rPr>
          <w:b/>
          <w:bCs/>
          <w:sz w:val="22"/>
          <w:szCs w:val="22"/>
        </w:rPr>
        <w:t>а</w:t>
      </w:r>
      <w:r>
        <w:rPr>
          <w:sz w:val="22"/>
          <w:szCs w:val="22"/>
        </w:rPr>
        <w:t xml:space="preserve"> (ИНН 500345477888), действующ</w:t>
      </w:r>
      <w:r>
        <w:rPr>
          <w:sz w:val="22"/>
          <w:szCs w:val="22"/>
        </w:rPr>
        <w:t>его</w:t>
      </w:r>
      <w:r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определения Арбитражного суда Ростовской области</w:t>
      </w:r>
      <w:r>
        <w:rPr>
          <w:sz w:val="22"/>
          <w:szCs w:val="22"/>
        </w:rPr>
        <w:t xml:space="preserve"> от 28.04.2025 по делу № А53-9802/2020, c одной стороны, именуемый в дальнейшем </w:t>
      </w:r>
      <w:r>
        <w:rPr>
          <w:b/>
          <w:sz w:val="22"/>
          <w:szCs w:val="22"/>
        </w:rPr>
        <w:t>«Продавец»,</w:t>
      </w:r>
      <w:r>
        <w:rPr>
          <w:sz w:val="22"/>
          <w:szCs w:val="22"/>
        </w:rPr>
        <w:t xml:space="preserve"> и</w:t>
      </w:r>
    </w:p>
    <w:p>
      <w:pPr>
        <w:pStyle w:val="Normal"/>
        <w:jc w:val="both"/>
        <w:rPr/>
      </w:pPr>
      <w:r>
        <w:rPr>
          <w:b/>
        </w:rPr>
        <w:tab/>
        <w:t xml:space="preserve">«Покупатель» -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ПРЕДМЕТ ДОГОВОРА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1.1. В соответствии с информационным сообщением о проведении торгов по реализации имущества </w:t>
      </w:r>
      <w:r>
        <w:rPr>
          <w:rFonts w:cs="Times New Roman" w:ascii="Times New Roman" w:hAnsi="Times New Roman"/>
          <w:sz w:val="24"/>
          <w:szCs w:val="24"/>
        </w:rPr>
        <w:t>Гука Виктора Васильевича</w:t>
      </w:r>
      <w:r>
        <w:rPr>
          <w:rFonts w:cs="Times New Roman" w:ascii="Times New Roman" w:hAnsi="Times New Roman"/>
          <w:sz w:val="24"/>
          <w:szCs w:val="24"/>
        </w:rPr>
        <w:t xml:space="preserve">, Претендент вносит, а Организатор принимает задаток на участие в публичном предложении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Размер задатка составляет 20% от от начальной цены реализации лота,  НДС не облагается.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ПОРЯДОК РАСЧЕТОВ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Претендент перечисляет на расчетный счет, указанный организатором торгов, всю сумму задатка, указанную в п. 1.2 настоящего Договора, и одновременно с подачей заявки на участие в торгах/аукционе (конкурсе) предъявляет подлинник платежного поручения с отметкой банка о его исполнении.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2.2. Претендент в платежном поручении в назначении платежа указывает: "внесение задатка за участие в торгах по реализации имущества </w:t>
      </w:r>
      <w:r>
        <w:rPr>
          <w:rFonts w:cs="Times New Roman" w:ascii="Times New Roman" w:hAnsi="Times New Roman"/>
          <w:sz w:val="24"/>
          <w:szCs w:val="24"/>
        </w:rPr>
        <w:t>Гука Виктора Васильевича</w:t>
      </w:r>
      <w:r>
        <w:rPr>
          <w:rFonts w:cs="Times New Roman" w:ascii="Times New Roman" w:hAnsi="Times New Roman"/>
          <w:sz w:val="24"/>
          <w:szCs w:val="24"/>
        </w:rPr>
        <w:t xml:space="preserve"> по лоту №...»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ПРАВА И ОБЯЗАННОСТИ СТОРОН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Претендент перечисляет, а Организатор принимает задаток на участие в торгах согласно условиям настоящего Договора.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Претенденту, который прошел квалификационный отбор, присваивается статус Участника.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Организатор возвращает задаток на расчетный счет Претендента (Участника), указанный в Договоре, в случае, если: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3.3.1. Участник не будет признан победителем публичного предл</w:t>
      </w:r>
      <w:r>
        <w:rPr>
          <w:rFonts w:cs="Times New Roman" w:ascii="Times New Roman" w:hAnsi="Times New Roman"/>
          <w:sz w:val="24"/>
          <w:szCs w:val="24"/>
        </w:rPr>
        <w:t>о</w:t>
      </w:r>
      <w:r>
        <w:rPr>
          <w:rFonts w:cs="Times New Roman" w:ascii="Times New Roman" w:hAnsi="Times New Roman"/>
          <w:sz w:val="24"/>
          <w:szCs w:val="24"/>
        </w:rPr>
        <w:t>жения. Задаток возвращается в течение 5 (пяти) банковских дней со дня проведения аукциона (конкурса).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3.3.2. Аукцион признан несостоявшимся. Задаток возвращается в течение 5 банковских дней после подписания протокола об итогах аукциона (конкурса).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3.3.3. Претендент отзывает заявку до даты окончания приема заявок. Дата окончания приема заявок. Задаток возвращается в течение 5  банковских дней после получения Организатором отзыва заявки.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3.3.4. Претендент не прошел квалификационный отбор. Задаток возвращается в течение 5 банковских дней со дня принятия решения об отказе в допуске к аукциону (конкурсу).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 Задаток не может быть истребован Участником к возврату до истечения 5 банковских дней со дня проведения аукциона (конкурса). В случае увеличения сроков возврата задатков в связи с объявлением нерабочих дней или задержкой разблокировки счета должника банком, участникам торгов будет сообщено отдельно в письменном виде.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3.5. В случае объявления Участника победителем аукциона (конкурса) сумма внесенного им задатка засчитывается в счет оплаты приобретенного имущества.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3.6.  Организатор не возвращает задаток в случае: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3.6.1. Отказа Участника от заключения договора купли-продажи приобретенного по результатам аукциона имущества в течение пятнадцати (пятнадцати) рабочих дней с момента подписания протокола о признании его победителем аукциона (конкурса).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3.6.2. Отзыва Претендентом заявки после даты окончания приема заявок.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3.6.3. В случае неявки Участника на торги в назначенный день, даже если торги будут признаны состоявшимися.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3.7. Оплата комиссии производится за счет Претендента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СРОК ДЕЙСТВИЯ ДОГОВОРА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4.1. Настоящий Договор вступает в силу со дня его подписания и действует до даты окончания приема заявок.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Договор о задатке прекращается при возврате суммы задатка Претенденту (Участнику) либо наступления обстоятельств, предусмотренных п. 3.6 настоящего Договора.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РАЗРЕШЕНИЕ СПОРОВ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Споры, которые могут возникнуть при исполнении условий настоящего Договора, Стороны будут стремиться решать путем переговоров.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недостижении соглашения спорные вопросы разрешаются в судебном порядке в Арбитражном Суде г. Москвы.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ЗАКЛЮЧИТЕЛЬНЫЕ ПОЛОЖЕНИЯ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6.1. Настоящий Договор составлен в двух экземплярах - по одному для каждой из Сторон. Оба экземпляра идентичны и имеют равную юридическую силу.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АДРЕСА, БАНКОВСКИЕ РЕКВИЗИТЫ И ПОДПИСИ СТОРОН</w:t>
      </w:r>
    </w:p>
    <w:p>
      <w:pPr>
        <w:pStyle w:val="BodyText"/>
        <w:spacing w:lineRule="auto" w:line="240" w:before="0" w:after="0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7050" w:leader="none"/>
        </w:tabs>
        <w:rPr/>
      </w:pPr>
      <w:r>
        <w:rPr/>
        <w:t>ОРГАНИЗАТОР: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Гук Виктор Васильевич</w:t>
      </w:r>
      <w:r>
        <w:rPr>
          <w:sz w:val="22"/>
          <w:szCs w:val="22"/>
        </w:rPr>
        <w:t xml:space="preserve"> (дата рождения: 24.05.1970, место рождения: Брестская область, Березовский район, с. Ярцевичи, ИНН </w:t>
        <w:tab/>
        <w:t xml:space="preserve">672400649549, адрес регистрации: Ростовская область, г. Волгодонск, ул. Беркутянская,46)., </w:t>
      </w:r>
      <w:r>
        <w:rPr>
          <w:sz w:val="22"/>
          <w:szCs w:val="22"/>
        </w:rPr>
        <w:t>в лице финансового управляющего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Миненко Виктор</w:t>
      </w:r>
      <w:r>
        <w:rPr>
          <w:b/>
          <w:bCs/>
          <w:sz w:val="22"/>
          <w:szCs w:val="22"/>
        </w:rPr>
        <w:t>а</w:t>
      </w:r>
      <w:r>
        <w:rPr>
          <w:b/>
          <w:bCs/>
          <w:sz w:val="22"/>
          <w:szCs w:val="22"/>
        </w:rPr>
        <w:t xml:space="preserve"> Юрьевич</w:t>
      </w:r>
      <w:r>
        <w:rPr>
          <w:b/>
          <w:bCs/>
          <w:sz w:val="22"/>
          <w:szCs w:val="22"/>
        </w:rPr>
        <w:t>а</w:t>
      </w:r>
      <w:r>
        <w:rPr>
          <w:sz w:val="22"/>
          <w:szCs w:val="22"/>
        </w:rPr>
        <w:t xml:space="preserve"> (ИНН 500345477888), действующ</w:t>
      </w:r>
      <w:r>
        <w:rPr>
          <w:sz w:val="22"/>
          <w:szCs w:val="22"/>
        </w:rPr>
        <w:t>его</w:t>
      </w:r>
      <w:r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определения Арбитражного суда Ростовской области</w:t>
      </w:r>
      <w:r>
        <w:rPr>
          <w:sz w:val="22"/>
          <w:szCs w:val="22"/>
        </w:rPr>
        <w:t xml:space="preserve"> от 28.04.2025 по делу № А53-9802/2020</w:t>
      </w:r>
    </w:p>
    <w:p>
      <w:pPr>
        <w:pStyle w:val="Normal"/>
        <w:tabs>
          <w:tab w:val="clear" w:pos="708"/>
          <w:tab w:val="left" w:pos="705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50" w:leader="none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</w:t>
      </w:r>
    </w:p>
    <w:p>
      <w:pPr>
        <w:pStyle w:val="Normal"/>
        <w:spacing w:lineRule="atLeast" w:line="240"/>
        <w:jc w:val="both"/>
        <w:rPr>
          <w:sz w:val="22"/>
          <w:szCs w:val="22"/>
        </w:rPr>
      </w:pPr>
      <w:r>
        <w:rPr>
          <w:i/>
          <w:sz w:val="22"/>
          <w:szCs w:val="22"/>
        </w:rPr>
        <w:t>Получатель: ГУК ВИКТОР ВАСИЛЬЕВИЧ Счет: 40817810650174919230, открыт 28.03.2024 в ФИЛИАЛ "ЦЕНТРАЛЬНЫЙ" ПАО "СОВКОМБАНК" (БЕРДСК) к/с 30101810150040000763, БИК 045004763, ИНН БАНКА 4401116480, КПП БАНКА 544543001</w:t>
      </w:r>
    </w:p>
    <w:p>
      <w:pPr>
        <w:pStyle w:val="Normal"/>
        <w:tabs>
          <w:tab w:val="clear" w:pos="708"/>
          <w:tab w:val="left" w:pos="7050" w:leader="none"/>
        </w:tabs>
        <w:rPr/>
      </w:pPr>
      <w:r>
        <w:rPr/>
        <w:t xml:space="preserve">Назначение платежа: задаток для участия в торгах по реализации имущества </w:t>
      </w:r>
      <w:r>
        <w:rPr/>
        <w:t>Гука Виктора Васильевича</w:t>
      </w:r>
      <w:r>
        <w:rPr/>
        <w:t xml:space="preserve"> с указанием номера торгов и номера лота</w:t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ПРЕТЕНДЕНТ:</w:t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9"/>
    <w:qFormat/>
    <w:rsid w:val="00c52170"/>
    <w:pPr>
      <w:keepNext w:val="true"/>
      <w:widowControl w:val="false"/>
      <w:overflowPunct w:val="true"/>
      <w:spacing w:lineRule="auto" w:line="360"/>
      <w:ind w:firstLine="567"/>
      <w:jc w:val="center"/>
      <w:textAlignment w:val="baseline"/>
      <w:outlineLvl w:val="1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uiPriority w:val="99"/>
    <w:qFormat/>
    <w:locked/>
    <w:rsid w:val="00c52170"/>
    <w:rPr>
      <w:rFonts w:cs="Times New Roman"/>
      <w:b/>
      <w:sz w:val="20"/>
      <w:szCs w:val="20"/>
    </w:rPr>
  </w:style>
  <w:style w:type="character" w:styleId="Style13" w:customStyle="1">
    <w:name w:val="Основной текст Знак"/>
    <w:uiPriority w:val="99"/>
    <w:semiHidden/>
    <w:qFormat/>
    <w:locked/>
    <w:rPr>
      <w:rFonts w:cs="Times New Roman"/>
      <w:sz w:val="24"/>
      <w:szCs w:val="24"/>
    </w:rPr>
  </w:style>
  <w:style w:type="character" w:styleId="Style14" w:customStyle="1">
    <w:name w:val="Нижний колонтитул Знак"/>
    <w:uiPriority w:val="99"/>
    <w:qFormat/>
    <w:locked/>
    <w:rsid w:val="00c52170"/>
    <w:rPr>
      <w:rFonts w:cs="Times New Roman"/>
      <w:sz w:val="20"/>
      <w:szCs w:val="20"/>
    </w:rPr>
  </w:style>
  <w:style w:type="character" w:styleId="3" w:customStyle="1">
    <w:name w:val="Основной текст 3 Знак"/>
    <w:link w:val="BodyText3"/>
    <w:uiPriority w:val="99"/>
    <w:semiHidden/>
    <w:qFormat/>
    <w:locked/>
    <w:rsid w:val="00c52170"/>
    <w:rPr>
      <w:rFonts w:cs="Times New Roman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e46496"/>
    <w:rPr>
      <w:sz w:val="24"/>
      <w:szCs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uiPriority w:val="99"/>
    <w:rsid w:val="00b5691c"/>
    <w:pPr>
      <w:widowControl w:val="false"/>
      <w:spacing w:lineRule="auto" w:line="341" w:before="120" w:after="0"/>
    </w:pPr>
    <w:rPr>
      <w:rFonts w:ascii="Courier New" w:hAnsi="Courier New"/>
      <w:sz w:val="16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uiPriority w:val="99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cc4b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8">
    <w:name w:val="Колонтитулы"/>
    <w:basedOn w:val="Normal"/>
    <w:qFormat/>
    <w:pPr/>
    <w:rPr/>
  </w:style>
  <w:style w:type="paragraph" w:styleId="Footer">
    <w:name w:val="footer"/>
    <w:basedOn w:val="Normal"/>
    <w:link w:val="Style14"/>
    <w:uiPriority w:val="99"/>
    <w:rsid w:val="00c52170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c52170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c52170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Style15"/>
    <w:uiPriority w:val="99"/>
    <w:rsid w:val="00e46496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35CF-2207-4AEA-BF58-719EB048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LibreOffice/25.2.7.2$Windows_X86_64 LibreOffice_project/5cbfd1ab6520636bb5f7b99185aa69bd7456825d</Application>
  <AppVersion>15.0000</AppVersion>
  <Pages>3</Pages>
  <Words>679</Words>
  <Characters>4679</Characters>
  <CharactersWithSpaces>5785</CharactersWithSpaces>
  <Paragraphs>45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2024-03-07T12:15:00Z</dcterms:created>
  <dc:creator>ConsultantPlus</dc:creator>
  <dc:description/>
  <dc:language>ru-RU</dc:language>
  <cp:lastModifiedBy/>
  <cp:lastPrinted>2024-03-07T12:15:00Z</cp:lastPrinted>
  <dcterms:modified xsi:type="dcterms:W3CDTF">2025-12-16T17:30:06Z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