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BE5" w:rsidRDefault="00FF3E6A">
      <w:pPr>
        <w:jc w:val="center"/>
      </w:pPr>
      <w:r>
        <w:rPr>
          <w:rFonts w:ascii="Times New Roman" w:hAnsi="Times New Roman" w:cs="Times New Roman"/>
          <w:sz w:val="24"/>
          <w:szCs w:val="24"/>
        </w:rPr>
        <w:t>Договор о задатке (договор присоединения) №</w:t>
      </w:r>
      <w:r>
        <w:rPr>
          <w:rFonts w:ascii="Times New Roman" w:hAnsi="Times New Roman" w:cs="Times New Roman"/>
          <w:sz w:val="24"/>
          <w:szCs w:val="24"/>
          <w:u w:val="single"/>
        </w:rPr>
        <w:t>  _______  </w:t>
      </w:r>
    </w:p>
    <w:p w:rsidR="001E1BE5" w:rsidRDefault="001E1BE5">
      <w:pPr>
        <w:rPr>
          <w:rFonts w:ascii="Times New Roman" w:hAnsi="Times New Roman" w:cs="Times New Roman"/>
          <w:sz w:val="24"/>
          <w:szCs w:val="24"/>
        </w:rPr>
      </w:pPr>
    </w:p>
    <w:p w:rsidR="001E1BE5" w:rsidRDefault="00FF3E6A">
      <w:pPr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«____» ________________ 2025 г.</w:t>
      </w:r>
    </w:p>
    <w:p w:rsidR="001E1BE5" w:rsidRDefault="001E1BE5">
      <w:pPr>
        <w:rPr>
          <w:rFonts w:ascii="Times New Roman" w:hAnsi="Times New Roman" w:cs="Times New Roman"/>
          <w:sz w:val="24"/>
          <w:szCs w:val="24"/>
        </w:rPr>
      </w:pPr>
    </w:p>
    <w:p w:rsidR="001E1BE5" w:rsidRDefault="00FF3E6A">
      <w:pPr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«Митра», именуемое в дальнейшем «Электронная торговая площадка» (ЭТП), в лице Генерального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Колищук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Васильевна, действующег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ей) на основании Устава, с одной стороны, и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, именуемый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в дальнейшем «Претендент», в лице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:rsidR="001E1BE5" w:rsidRDefault="00FF3E6A">
      <w:pPr>
        <w:pStyle w:val="a8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Претенд</w:t>
      </w:r>
      <w:r>
        <w:rPr>
          <w:rFonts w:ascii="Times New Roman" w:hAnsi="Times New Roman" w:cs="Times New Roman"/>
          <w:sz w:val="24"/>
          <w:szCs w:val="24"/>
        </w:rPr>
        <w:t>ент на участие в торгах №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________</w:t>
      </w:r>
      <w:r>
        <w:rPr>
          <w:rFonts w:ascii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продаже имущества, принадлежащего </w:t>
      </w:r>
      <w:r>
        <w:rPr>
          <w:rFonts w:ascii="Times New Roman" w:hAnsi="Times New Roman" w:cs="Times New Roman"/>
          <w:sz w:val="24"/>
          <w:szCs w:val="24"/>
          <w:u w:val="single"/>
        </w:rPr>
        <w:t> 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 присоединился к настоящему договору в соответствии с требованиями ст.ст. 380,381,428 ГК РФ, Регламенту ЭТП Общество с о</w:t>
      </w:r>
      <w:r>
        <w:rPr>
          <w:rFonts w:ascii="Times New Roman" w:hAnsi="Times New Roman" w:cs="Times New Roman"/>
          <w:sz w:val="24"/>
          <w:szCs w:val="24"/>
        </w:rPr>
        <w:t>граниченной ответственностью «Митра», путем подачи установленной ФЗ «О несостоятельности (банкротстве)» заявки на участие в торгах №</w:t>
      </w:r>
      <w:r>
        <w:rPr>
          <w:rFonts w:ascii="Times New Roman" w:hAnsi="Times New Roman" w:cs="Times New Roman"/>
          <w:sz w:val="24"/>
          <w:szCs w:val="24"/>
          <w:u w:val="single"/>
        </w:rPr>
        <w:t>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1BE5" w:rsidRDefault="00FF3E6A">
      <w:pPr>
        <w:pStyle w:val="a8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условиями настоящего договора Претендент для участия в торгах №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________</w:t>
      </w:r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ЭТП Общество с ог</w:t>
      </w:r>
      <w:r>
        <w:rPr>
          <w:rFonts w:ascii="Times New Roman" w:hAnsi="Times New Roman" w:cs="Times New Roman"/>
          <w:sz w:val="24"/>
          <w:szCs w:val="24"/>
        </w:rPr>
        <w:t xml:space="preserve">раниченной ответственностью «Митра» по адресу: </w:t>
      </w:r>
      <w:hyperlink r:id="rId4">
        <w:r>
          <w:rPr>
            <w:rFonts w:ascii="Times New Roman" w:hAnsi="Times New Roman" w:cs="Times New Roman"/>
            <w:sz w:val="24"/>
            <w:szCs w:val="24"/>
            <w:lang w:val="en-US"/>
          </w:rPr>
          <w:t>bankrot</w:t>
        </w:r>
        <w:r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Fonts w:ascii="Times New Roman" w:hAnsi="Times New Roman" w:cs="Times New Roman"/>
            <w:sz w:val="24"/>
            <w:szCs w:val="24"/>
            <w:lang w:val="en-US"/>
          </w:rPr>
          <w:t>viomitra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, по продаже имущества, принадлежащего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, проводимых согласно объявления №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, опубликованного на ЕФРСБ «__»</w:t>
      </w:r>
      <w:r>
        <w:rPr>
          <w:rFonts w:ascii="Times New Roman" w:hAnsi="Times New Roman" w:cs="Times New Roman"/>
          <w:sz w:val="24"/>
          <w:szCs w:val="24"/>
          <w:u w:val="single"/>
        </w:rPr>
        <w:t>  _________  </w:t>
      </w:r>
      <w:r>
        <w:rPr>
          <w:rFonts w:ascii="Times New Roman" w:hAnsi="Times New Roman" w:cs="Times New Roman"/>
          <w:sz w:val="24"/>
          <w:szCs w:val="24"/>
        </w:rPr>
        <w:t>2025 г. (далее – Имущество, Лот №</w:t>
      </w:r>
      <w:r>
        <w:rPr>
          <w:rFonts w:ascii="Times New Roman" w:hAnsi="Times New Roman" w:cs="Times New Roman"/>
          <w:sz w:val="24"/>
          <w:szCs w:val="24"/>
          <w:u w:val="single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), оплачивает денежные средства в размере </w:t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  <w:r>
        <w:rPr>
          <w:rFonts w:ascii="Times New Roman" w:hAnsi="Times New Roman" w:cs="Times New Roman"/>
          <w:sz w:val="24"/>
          <w:szCs w:val="24"/>
        </w:rPr>
        <w:t>% от начальной цены Лота – «Задаток» в с</w:t>
      </w:r>
      <w:r>
        <w:rPr>
          <w:rFonts w:ascii="Times New Roman" w:hAnsi="Times New Roman" w:cs="Times New Roman"/>
          <w:sz w:val="24"/>
          <w:szCs w:val="24"/>
        </w:rPr>
        <w:t xml:space="preserve">умме </w:t>
      </w:r>
      <w:r>
        <w:rPr>
          <w:rFonts w:ascii="Times New Roman" w:hAnsi="Times New Roman" w:cs="Times New Roman"/>
          <w:sz w:val="24"/>
          <w:szCs w:val="24"/>
          <w:u w:val="single"/>
        </w:rPr>
        <w:t>      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___руб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.      </w:t>
      </w:r>
      <w:r>
        <w:rPr>
          <w:rFonts w:ascii="Times New Roman" w:hAnsi="Times New Roman" w:cs="Times New Roman"/>
          <w:sz w:val="24"/>
          <w:szCs w:val="24"/>
        </w:rPr>
        <w:t xml:space="preserve"> путем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перечисления денежных средств на расчетный счет ЭТП по следующим реквизитам:</w:t>
      </w:r>
    </w:p>
    <w:p w:rsidR="001E1BE5" w:rsidRDefault="00FF3E6A">
      <w:pPr>
        <w:pStyle w:val="a8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Получатель: Общество с ограниченной ответственностью «Митра»</w:t>
      </w:r>
    </w:p>
    <w:p w:rsidR="001E1BE5" w:rsidRDefault="00FF3E6A">
      <w:pPr>
        <w:pStyle w:val="a8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"МИТРА"</w:t>
      </w:r>
    </w:p>
    <w:p w:rsidR="001E1BE5" w:rsidRDefault="00FF3E6A">
      <w:pPr>
        <w:pStyle w:val="a8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6164132744 </w:t>
      </w:r>
    </w:p>
    <w:p w:rsidR="001E1BE5" w:rsidRDefault="00FF3E6A">
      <w:pPr>
        <w:pStyle w:val="a8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КПП 770401001, </w:t>
      </w:r>
    </w:p>
    <w:p w:rsidR="001E1BE5" w:rsidRDefault="00FF3E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Times New Roman"/>
          <w:sz w:val="14"/>
          <w:szCs w:val="1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ПАО "Банк ПСБ" г. Ярославль</w:t>
      </w:r>
    </w:p>
    <w:p w:rsidR="001E1BE5" w:rsidRDefault="00FF3E6A">
      <w:pPr>
        <w:pStyle w:val="a8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/с 40702810400000354100, </w:t>
      </w:r>
    </w:p>
    <w:p w:rsidR="001E1BE5" w:rsidRDefault="00FF3E6A">
      <w:pPr>
        <w:pStyle w:val="a8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30101810400000000555, </w:t>
      </w:r>
    </w:p>
    <w:p w:rsidR="001E1BE5" w:rsidRDefault="00FF3E6A">
      <w:pPr>
        <w:pStyle w:val="a8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  044525555</w:t>
      </w:r>
    </w:p>
    <w:p w:rsidR="001E1BE5" w:rsidRDefault="00FF3E6A">
      <w:pPr>
        <w:pStyle w:val="a8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Оплата задатка Претендента на расчетный счет ЭТП признается сторонами заключением настоящего договора на оговоренных в нем условиях путем присоединения в порядке ст.428 ГК РФ.</w:t>
      </w:r>
    </w:p>
    <w:p w:rsidR="001E1BE5" w:rsidRDefault="00FF3E6A">
      <w:pPr>
        <w:pStyle w:val="a8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 xml:space="preserve">Задаток в полном объеме должен быть внесен Претендентом не позднее даты, указанной в сообщении организатора торгов о продаже Имущества должника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и должен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быть зачислен на расчетный счет </w:t>
      </w:r>
      <w:r>
        <w:rPr>
          <w:rFonts w:ascii="Times New Roman" w:hAnsi="Times New Roman" w:cs="Times New Roman"/>
          <w:sz w:val="24"/>
          <w:szCs w:val="24"/>
        </w:rPr>
        <w:t>ЭТП, указанный в п. 2 настоящего договора, не позднее даты, указанной в сообщении о продаже. Задаток считается оплаченным в соответствии с условиями настоящего договора с момента зачисления денежных средств на расчетный счет ЭТП.</w:t>
      </w:r>
    </w:p>
    <w:p w:rsidR="001E1BE5" w:rsidRDefault="00FF3E6A">
      <w:pPr>
        <w:pStyle w:val="a8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Если сумма задатка о</w:t>
      </w:r>
      <w:r>
        <w:rPr>
          <w:rFonts w:ascii="Times New Roman" w:hAnsi="Times New Roman" w:cs="Times New Roman"/>
          <w:sz w:val="24"/>
          <w:szCs w:val="24"/>
        </w:rPr>
        <w:t xml:space="preserve">т Претендента не была зачислена на расчетный счет ЭТП, указанный в сообщении и настоящем договоре, на дату, указанную в сообщении о продаже Имущества, то Претендент не допускается к участию в торгах. Представление Претендентом платежных документов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>с отметк</w:t>
      </w:r>
      <w:r>
        <w:rPr>
          <w:rFonts w:ascii="Times New Roman" w:hAnsi="Times New Roman" w:cs="Times New Roman"/>
          <w:sz w:val="24"/>
          <w:szCs w:val="24"/>
        </w:rPr>
        <w:t>ой об исполнении при этом во внимание для принятия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решения о признании Претендента Участником торгов не принимается.</w:t>
      </w:r>
    </w:p>
    <w:p w:rsidR="001E1BE5" w:rsidRDefault="00FF3E6A">
      <w:pPr>
        <w:pStyle w:val="a8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Договор о задатке подписывается Претендентом электронной подписью Претендента. Претендент вправе направить задаток  на счет ЭТП, указ</w:t>
      </w:r>
      <w:r>
        <w:rPr>
          <w:rFonts w:ascii="Times New Roman" w:hAnsi="Times New Roman" w:cs="Times New Roman"/>
          <w:sz w:val="24"/>
          <w:szCs w:val="24"/>
        </w:rPr>
        <w:t>анный в настоящем договоре, без подписания настоящего Договора электронной цифровой подписью Претендента, в этом случае перечисление задатка в полном размере Претендентом в соответствии с сообщением о проведении торгов считается акцептом размещенного на эл</w:t>
      </w:r>
      <w:r>
        <w:rPr>
          <w:rFonts w:ascii="Times New Roman" w:hAnsi="Times New Roman" w:cs="Times New Roman"/>
          <w:sz w:val="24"/>
          <w:szCs w:val="24"/>
        </w:rPr>
        <w:t xml:space="preserve">ектронной площадке договора о задатке.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Задаток в соответствии со ст.380, 381 ГК РФ выступает обеспечением исполнения обязательств Претендента по заключению по итогам торгов договора купли-продажи и оплате цены продажи Имущества (Лота), определенной по итог</w:t>
      </w:r>
      <w:r>
        <w:rPr>
          <w:rFonts w:ascii="Times New Roman" w:hAnsi="Times New Roman" w:cs="Times New Roman"/>
          <w:sz w:val="24"/>
          <w:szCs w:val="24"/>
        </w:rPr>
        <w:t>ам торгов, в случае признания Претендента победителем торгов, при этом на сумму задатка распространяются положения ст. 381 ГК РФ в полном объеме.</w:t>
      </w:r>
      <w:proofErr w:type="gramEnd"/>
    </w:p>
    <w:p w:rsidR="001E1BE5" w:rsidRDefault="00FF3E6A">
      <w:pPr>
        <w:pStyle w:val="a8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Претендент обязан указать в платежном документе в графе «назначение платежа» ссылку на дату проведения т</w:t>
      </w:r>
      <w:r>
        <w:rPr>
          <w:rFonts w:ascii="Times New Roman" w:hAnsi="Times New Roman" w:cs="Times New Roman"/>
          <w:sz w:val="24"/>
          <w:szCs w:val="24"/>
        </w:rPr>
        <w:t>оргов, номер торговой процедуры, номер Лота согласно сообщению о продаже Имущества, опубликованному организатором торгов.</w:t>
      </w:r>
    </w:p>
    <w:p w:rsidR="001E1BE5" w:rsidRDefault="00FF3E6A">
      <w:pPr>
        <w:pStyle w:val="a8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На денежные средства, поступившие на счет ЭТП в качестве задатка, до момента их возврата либо перечисления собственнику имуществ</w:t>
      </w:r>
      <w:r>
        <w:rPr>
          <w:rFonts w:ascii="Times New Roman" w:hAnsi="Times New Roman" w:cs="Times New Roman"/>
          <w:sz w:val="24"/>
          <w:szCs w:val="24"/>
        </w:rPr>
        <w:t>а проценты согласно ст. 317.1 ГК РФ не начисляются.</w:t>
      </w:r>
    </w:p>
    <w:p w:rsidR="001E1BE5" w:rsidRDefault="00FF3E6A">
      <w:pPr>
        <w:pStyle w:val="a8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Исполнение обязанности по внесению суммы задатка третьими лицами не допускается. От имени Претендента и за его счет задаток может быть внесен Поверенным либо Агентом Претендента. При этом Претендент</w:t>
      </w:r>
      <w:r>
        <w:rPr>
          <w:rFonts w:ascii="Times New Roman" w:hAnsi="Times New Roman" w:cs="Times New Roman"/>
          <w:sz w:val="24"/>
          <w:szCs w:val="24"/>
        </w:rPr>
        <w:t xml:space="preserve"> обязан отправить соответствующие договоры, подтверждающие полномочия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лиц на внесение задатка от имени и за счет Претендента.</w:t>
      </w:r>
    </w:p>
    <w:p w:rsidR="001E1BE5" w:rsidRDefault="00FF3E6A">
      <w:pPr>
        <w:pStyle w:val="a8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Распоряжение суммой задатка по итогам проведения торговой процедуры осуществляется в следующем порядке:</w:t>
      </w:r>
    </w:p>
    <w:p w:rsidR="001E1BE5" w:rsidRDefault="00FF3E6A">
      <w:pPr>
        <w:pStyle w:val="a8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10.1.</w:t>
      </w:r>
      <w:r>
        <w:rPr>
          <w:rFonts w:ascii="Times New Roman" w:hAnsi="Times New Roman" w:cs="Times New Roman"/>
          <w:sz w:val="14"/>
          <w:szCs w:val="14"/>
        </w:rPr>
        <w:t xml:space="preserve">   </w:t>
      </w:r>
      <w:r>
        <w:rPr>
          <w:rFonts w:ascii="Times New Roman" w:hAnsi="Times New Roman" w:cs="Times New Roman"/>
          <w:sz w:val="24"/>
          <w:szCs w:val="24"/>
        </w:rPr>
        <w:t> Если</w:t>
      </w:r>
      <w:r>
        <w:rPr>
          <w:rFonts w:ascii="Times New Roman" w:hAnsi="Times New Roman" w:cs="Times New Roman"/>
          <w:sz w:val="24"/>
          <w:szCs w:val="24"/>
        </w:rPr>
        <w:t xml:space="preserve"> Претендент, внесший задаток на счет ЭТП, признан победителем торгов, то ЭТП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обязана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перечислить сумму задатка на счет продавца имущества, с которым победитель торгов заключает договор купли-продажи имущества. ЭТП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обязана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перечислить сумму задатка в течени</w:t>
      </w:r>
      <w:r>
        <w:rPr>
          <w:rFonts w:ascii="Times New Roman" w:hAnsi="Times New Roman" w:cs="Times New Roman"/>
          <w:sz w:val="24"/>
          <w:szCs w:val="24"/>
        </w:rPr>
        <w:t>е 5 банковских дней со дня подписания Организатором торгов Протокола об итогах проведения торгов, срок начинает исчисляться со следующего рабочего дня после даты подписания Протокола об итогах проведения торгов. Сумма задатка засчитывается в счет оплаты им</w:t>
      </w:r>
      <w:r>
        <w:rPr>
          <w:rFonts w:ascii="Times New Roman" w:hAnsi="Times New Roman" w:cs="Times New Roman"/>
          <w:sz w:val="24"/>
          <w:szCs w:val="24"/>
        </w:rPr>
        <w:t>ущества, приобретенного на торгах.</w:t>
      </w:r>
    </w:p>
    <w:p w:rsidR="001E1BE5" w:rsidRDefault="00FF3E6A">
      <w:pPr>
        <w:pStyle w:val="a8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10.2.</w:t>
      </w:r>
      <w:r>
        <w:rPr>
          <w:rFonts w:ascii="Times New Roman" w:hAnsi="Times New Roman" w:cs="Times New Roman"/>
          <w:sz w:val="14"/>
          <w:szCs w:val="14"/>
        </w:rPr>
        <w:t xml:space="preserve">   </w:t>
      </w:r>
      <w:r>
        <w:rPr>
          <w:rFonts w:ascii="Times New Roman" w:hAnsi="Times New Roman" w:cs="Times New Roman"/>
          <w:sz w:val="24"/>
          <w:szCs w:val="24"/>
        </w:rPr>
        <w:t xml:space="preserve"> Если Претендент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признан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признан победителем торгов, то ЭТП обязана в течение 5 банковских дней возвратить на счет Претендента, указанный в заявке на участие в торгах, после подписания Организатором торгов </w:t>
      </w:r>
      <w:r>
        <w:rPr>
          <w:rFonts w:ascii="Times New Roman" w:hAnsi="Times New Roman" w:cs="Times New Roman"/>
          <w:sz w:val="24"/>
          <w:szCs w:val="24"/>
        </w:rPr>
        <w:t>Протокола об итогах проведения торгов. Исчисление срока начинается на следующий  после подписания рабочий день. При этом претендент обязан своевременно в пределах 5 дней направить в адрес ЭТП заявление о возврате задатка с указанием актуальных банковских р</w:t>
      </w:r>
      <w:r>
        <w:rPr>
          <w:rFonts w:ascii="Times New Roman" w:hAnsi="Times New Roman" w:cs="Times New Roman"/>
          <w:sz w:val="24"/>
          <w:szCs w:val="24"/>
        </w:rPr>
        <w:t>еквизитов. При отсутствии такой заявке ЭТП вправе не перечислять сумму задатка до поступления такого распорядительного письма. В этом случае проценты согласно ст. 317.1 ГК РФ не начисляются, положения ст.395 ГК РФ не применяются в отношении ЭТП до поступле</w:t>
      </w:r>
      <w:r>
        <w:rPr>
          <w:rFonts w:ascii="Times New Roman" w:hAnsi="Times New Roman" w:cs="Times New Roman"/>
          <w:sz w:val="24"/>
          <w:szCs w:val="24"/>
        </w:rPr>
        <w:t>ния распорядительного письма от имени Претендента.</w:t>
      </w:r>
    </w:p>
    <w:p w:rsidR="001E1BE5" w:rsidRDefault="00FF3E6A">
      <w:pPr>
        <w:pStyle w:val="a8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10.3.</w:t>
      </w:r>
      <w:r>
        <w:rPr>
          <w:rFonts w:ascii="Times New Roman" w:hAnsi="Times New Roman" w:cs="Times New Roman"/>
          <w:sz w:val="14"/>
          <w:szCs w:val="14"/>
        </w:rPr>
        <w:t xml:space="preserve">   </w:t>
      </w:r>
      <w:r>
        <w:rPr>
          <w:rFonts w:ascii="Times New Roman" w:hAnsi="Times New Roman" w:cs="Times New Roman"/>
          <w:sz w:val="24"/>
          <w:szCs w:val="24"/>
        </w:rPr>
        <w:t xml:space="preserve"> В случае отмены торгов, ЭТП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обязана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возвратить сумму задатка в течение 5 банковских дней с момента подписания Организатором торгов распорядительного документа об отмене торгов.</w:t>
      </w:r>
    </w:p>
    <w:p w:rsidR="001E1BE5" w:rsidRDefault="00FF3E6A">
      <w:pPr>
        <w:pStyle w:val="a8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10.4.</w:t>
      </w:r>
      <w:r>
        <w:rPr>
          <w:rFonts w:ascii="Times New Roman" w:hAnsi="Times New Roman" w:cs="Times New Roman"/>
          <w:sz w:val="14"/>
          <w:szCs w:val="14"/>
        </w:rPr>
        <w:t xml:space="preserve">   </w:t>
      </w:r>
      <w:r>
        <w:rPr>
          <w:rFonts w:ascii="Times New Roman" w:hAnsi="Times New Roman" w:cs="Times New Roman"/>
          <w:sz w:val="24"/>
          <w:szCs w:val="24"/>
        </w:rPr>
        <w:t> В случае п</w:t>
      </w:r>
      <w:r>
        <w:rPr>
          <w:rFonts w:ascii="Times New Roman" w:hAnsi="Times New Roman" w:cs="Times New Roman"/>
          <w:sz w:val="24"/>
          <w:szCs w:val="24"/>
        </w:rPr>
        <w:t xml:space="preserve">ризнания торгов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несостоявшимися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>, ЭТП обязана возвратить сумму задатка Претенденту в течение 5 банковских дней с даты подписания Организатором торгов Протокола о признании торгов несостоявшимися.</w:t>
      </w:r>
    </w:p>
    <w:p w:rsidR="001E1BE5" w:rsidRDefault="00FF3E6A">
      <w:pPr>
        <w:pStyle w:val="a8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Если Претендент, признанный победителем торгов, уклони</w:t>
      </w:r>
      <w:r>
        <w:rPr>
          <w:rFonts w:ascii="Times New Roman" w:hAnsi="Times New Roman" w:cs="Times New Roman"/>
          <w:sz w:val="24"/>
          <w:szCs w:val="24"/>
        </w:rPr>
        <w:t xml:space="preserve">лся либо отказался от подписания договора купли-продажи по результатам проведения торгов, то внесенный задаток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возвращается Претенденту и подлежит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перечислению на счет собственника Имущества, реализуемого на торгах.</w:t>
      </w:r>
    </w:p>
    <w:p w:rsidR="001E1BE5" w:rsidRDefault="00FF3E6A">
      <w:pPr>
        <w:pStyle w:val="a8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Возврат суммы задатка Претенде</w:t>
      </w:r>
      <w:r>
        <w:rPr>
          <w:rFonts w:ascii="Times New Roman" w:hAnsi="Times New Roman" w:cs="Times New Roman"/>
          <w:sz w:val="24"/>
          <w:szCs w:val="24"/>
        </w:rPr>
        <w:t>нту осуществляется путем перечисления суммы задатка на счет Претендента, указанный в заявке Претендента. При этом сумма банковских расходов  ЭТП, возникающих при возврате задатка Претенденту в банке, обслуживающем счет ЭТП, несет Претендент путем удержания</w:t>
      </w:r>
      <w:r>
        <w:rPr>
          <w:rFonts w:ascii="Times New Roman" w:hAnsi="Times New Roman" w:cs="Times New Roman"/>
          <w:sz w:val="24"/>
          <w:szCs w:val="24"/>
        </w:rPr>
        <w:t xml:space="preserve"> банковской комиссии из суммы задатка согласно расценкам банка.</w:t>
      </w:r>
    </w:p>
    <w:p w:rsidR="001E1BE5" w:rsidRDefault="00FF3E6A">
      <w:pPr>
        <w:pStyle w:val="a8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 xml:space="preserve">Все споры и разногласия, возникающие в процессе исполнения настоящего договора, стороны стремятся урегулировать путем переговоров. В случае не достижения договоренностей, спор подлежит </w:t>
      </w:r>
      <w:r>
        <w:rPr>
          <w:rFonts w:ascii="Times New Roman" w:hAnsi="Times New Roman" w:cs="Times New Roman"/>
          <w:sz w:val="24"/>
          <w:szCs w:val="24"/>
        </w:rPr>
        <w:t>рассмотрению в Арбитражном суде Ростовской области.</w:t>
      </w:r>
    </w:p>
    <w:p w:rsidR="001E1BE5" w:rsidRDefault="00FF3E6A">
      <w:pPr>
        <w:pStyle w:val="a8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Факт оплаты суммы задатка на участие в торгах подтверждает согласие и принятие в полном объеме Претендентом условий настоящего договора.</w:t>
      </w:r>
    </w:p>
    <w:p w:rsidR="001E1BE5" w:rsidRDefault="00FF3E6A">
      <w:pPr>
        <w:jc w:val="center"/>
        <w:rPr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Реквизиты Сторон</w:t>
      </w:r>
    </w:p>
    <w:tbl>
      <w:tblPr>
        <w:tblW w:w="9776" w:type="dxa"/>
        <w:tblInd w:w="-5" w:type="dxa"/>
        <w:tblLayout w:type="fixed"/>
        <w:tblLook w:val="04A0"/>
      </w:tblPr>
      <w:tblGrid>
        <w:gridCol w:w="4536"/>
        <w:gridCol w:w="5240"/>
      </w:tblGrid>
      <w:tr w:rsidR="001E1BE5">
        <w:tc>
          <w:tcPr>
            <w:tcW w:w="4536" w:type="dxa"/>
          </w:tcPr>
          <w:p w:rsidR="001E1BE5" w:rsidRDefault="00FF3E6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торговая площадка</w:t>
            </w:r>
          </w:p>
        </w:tc>
        <w:tc>
          <w:tcPr>
            <w:tcW w:w="5239" w:type="dxa"/>
          </w:tcPr>
          <w:p w:rsidR="001E1BE5" w:rsidRDefault="00FF3E6A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           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ретендент</w:t>
            </w:r>
          </w:p>
        </w:tc>
      </w:tr>
      <w:tr w:rsidR="001E1BE5">
        <w:tc>
          <w:tcPr>
            <w:tcW w:w="4536" w:type="dxa"/>
          </w:tcPr>
          <w:p w:rsidR="001E1BE5" w:rsidRDefault="00FF3E6A">
            <w:pPr>
              <w:widowControl w:val="0"/>
              <w:spacing w:after="0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Общество с ограниченной ответственностью «Митра»</w:t>
            </w:r>
          </w:p>
          <w:p w:rsidR="001E1BE5" w:rsidRDefault="00FF3E6A">
            <w:pPr>
              <w:widowControl w:val="0"/>
              <w:spacing w:after="0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119002, город Москва, Смоленский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б-р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24 стр. 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помещ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6/3/2 </w:t>
            </w:r>
          </w:p>
          <w:p w:rsidR="001E1BE5" w:rsidRDefault="00FF3E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6164132744 КПП 770401001, </w:t>
            </w:r>
          </w:p>
          <w:p w:rsidR="001E1BE5" w:rsidRDefault="00FF3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"Банк ПСБ" г. Ярославль</w:t>
            </w:r>
          </w:p>
          <w:p w:rsidR="001E1BE5" w:rsidRDefault="00FF3E6A">
            <w:pPr>
              <w:pStyle w:val="a8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/с 40702810400000354100, </w:t>
            </w:r>
          </w:p>
          <w:p w:rsidR="001E1BE5" w:rsidRDefault="00FF3E6A">
            <w:pPr>
              <w:pStyle w:val="a8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30101810400000000555, </w:t>
            </w:r>
          </w:p>
          <w:p w:rsidR="001E1BE5" w:rsidRDefault="00FF3E6A">
            <w:pPr>
              <w:pStyle w:val="a8"/>
              <w:widowControl w:val="0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 044525555</w:t>
            </w:r>
          </w:p>
        </w:tc>
        <w:tc>
          <w:tcPr>
            <w:tcW w:w="5239" w:type="dxa"/>
          </w:tcPr>
          <w:p w:rsidR="001E1BE5" w:rsidRDefault="00FF3E6A">
            <w:pPr>
              <w:widowControl w:val="0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E1BE5">
        <w:tc>
          <w:tcPr>
            <w:tcW w:w="4536" w:type="dxa"/>
          </w:tcPr>
          <w:p w:rsidR="001E1BE5" w:rsidRDefault="00FF3E6A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Генеральный Директор </w:t>
            </w:r>
          </w:p>
          <w:p w:rsidR="001E1BE5" w:rsidRDefault="00FF3E6A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E1BE5" w:rsidRDefault="00FF3E6A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Колищук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О.В.</w:t>
            </w:r>
          </w:p>
        </w:tc>
        <w:tc>
          <w:tcPr>
            <w:tcW w:w="5239" w:type="dxa"/>
          </w:tcPr>
          <w:p w:rsidR="001E1BE5" w:rsidRDefault="00FF3E6A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E1BE5" w:rsidRDefault="00FF3E6A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E1BE5" w:rsidRDefault="00FF3E6A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/__________________</w:t>
            </w:r>
          </w:p>
        </w:tc>
      </w:tr>
    </w:tbl>
    <w:p w:rsidR="001E1BE5" w:rsidRDefault="001E1BE5">
      <w:pPr>
        <w:jc w:val="both"/>
      </w:pPr>
    </w:p>
    <w:sectPr w:rsidR="001E1BE5" w:rsidSect="001E1BE5">
      <w:pgSz w:w="11906" w:h="16838"/>
      <w:pgMar w:top="426" w:right="707" w:bottom="993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savePreviewPicture/>
  <w:compat/>
  <w:rsids>
    <w:rsidRoot w:val="001E1BE5"/>
    <w:rsid w:val="001E1BE5"/>
    <w:rsid w:val="00FF3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BE5"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1E1BE5"/>
    <w:rPr>
      <w:color w:val="0000FF"/>
      <w:u w:val="single"/>
    </w:rPr>
  </w:style>
  <w:style w:type="character" w:customStyle="1" w:styleId="a3">
    <w:name w:val="Посещённая гиперссылка"/>
    <w:basedOn w:val="a0"/>
    <w:uiPriority w:val="99"/>
    <w:semiHidden/>
    <w:unhideWhenUsed/>
    <w:rsid w:val="001E1BE5"/>
    <w:rPr>
      <w:color w:val="800080"/>
      <w:u w:val="single"/>
    </w:rPr>
  </w:style>
  <w:style w:type="paragraph" w:customStyle="1" w:styleId="a4">
    <w:name w:val="Заголовок"/>
    <w:basedOn w:val="a"/>
    <w:next w:val="a5"/>
    <w:qFormat/>
    <w:rsid w:val="001E1BE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1E1BE5"/>
    <w:pPr>
      <w:spacing w:after="140"/>
    </w:pPr>
  </w:style>
  <w:style w:type="paragraph" w:styleId="a6">
    <w:name w:val="List"/>
    <w:basedOn w:val="a5"/>
    <w:rsid w:val="001E1BE5"/>
    <w:rPr>
      <w:rFonts w:cs="Arial"/>
    </w:rPr>
  </w:style>
  <w:style w:type="paragraph" w:customStyle="1" w:styleId="Caption">
    <w:name w:val="Caption"/>
    <w:basedOn w:val="a"/>
    <w:qFormat/>
    <w:rsid w:val="001E1BE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1E1BE5"/>
    <w:pPr>
      <w:suppressLineNumbers/>
    </w:pPr>
    <w:rPr>
      <w:rFonts w:cs="Arial"/>
    </w:rPr>
  </w:style>
  <w:style w:type="paragraph" w:customStyle="1" w:styleId="msonormal0">
    <w:name w:val="msonormal"/>
    <w:basedOn w:val="a"/>
    <w:qFormat/>
    <w:rsid w:val="001E1BE5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1E1BE5"/>
    <w:pPr>
      <w:ind w:left="720"/>
    </w:pPr>
  </w:style>
  <w:style w:type="paragraph" w:customStyle="1" w:styleId="msolistparagraphcxspfirst">
    <w:name w:val="msolistparagraphcxspfirst"/>
    <w:basedOn w:val="a"/>
    <w:qFormat/>
    <w:rsid w:val="001E1BE5"/>
    <w:pPr>
      <w:spacing w:after="0"/>
      <w:ind w:left="720"/>
    </w:pPr>
  </w:style>
  <w:style w:type="paragraph" w:customStyle="1" w:styleId="msolistparagraphcxspmiddle">
    <w:name w:val="msolistparagraphcxspmiddle"/>
    <w:basedOn w:val="a"/>
    <w:qFormat/>
    <w:rsid w:val="001E1BE5"/>
    <w:pPr>
      <w:spacing w:after="0"/>
      <w:ind w:left="720"/>
    </w:pPr>
  </w:style>
  <w:style w:type="paragraph" w:customStyle="1" w:styleId="msolistparagraphcxsplast">
    <w:name w:val="msolistparagraphcxsplast"/>
    <w:basedOn w:val="a"/>
    <w:qFormat/>
    <w:rsid w:val="001E1BE5"/>
    <w:pPr>
      <w:ind w:left="720"/>
    </w:pPr>
  </w:style>
  <w:style w:type="paragraph" w:customStyle="1" w:styleId="msochpdefault">
    <w:name w:val="msochpdefault"/>
    <w:basedOn w:val="a"/>
    <w:qFormat/>
    <w:rsid w:val="001E1BE5"/>
    <w:pPr>
      <w:spacing w:beforeAutospacing="1" w:afterAutospacing="1" w:line="240" w:lineRule="auto"/>
    </w:pPr>
    <w:rPr>
      <w:sz w:val="24"/>
      <w:szCs w:val="24"/>
    </w:rPr>
  </w:style>
  <w:style w:type="paragraph" w:customStyle="1" w:styleId="msopapdefault">
    <w:name w:val="msopapdefault"/>
    <w:basedOn w:val="a"/>
    <w:qFormat/>
    <w:rsid w:val="001E1BE5"/>
    <w:pPr>
      <w:spacing w:before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/Users/&#1070;&#1083;&#1080;&#1103;/Desktop/&#1044;&#1082;&#1091;&#1084;&#1077;&#1085;&#1090;&#1099;/&#1052;&#1080;&#1090;&#1088;&#1072;/&#1087;&#1086;&#1076;&#1087;&#1080;&#1089;&#1072;&#1085;&#1085;&#1099;&#1081;%20&#1044;&#1086;&#1075;&#1086;&#1074;&#1086;&#1088;%20&#1079;&#1072;&#1076;&#1072;&#1090;&#1082;&#1072;%20&#1052;&#1080;&#1090;&#1088;&#1072;/bankrot.viomitr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1174</Words>
  <Characters>6698</Characters>
  <Application>Microsoft Office Word</Application>
  <DocSecurity>0</DocSecurity>
  <Lines>55</Lines>
  <Paragraphs>15</Paragraphs>
  <ScaleCrop>false</ScaleCrop>
  <Company>Microsoft</Company>
  <LinksUpToDate>false</LinksUpToDate>
  <CharactersWithSpaces>7857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Виталий</cp:lastModifiedBy>
  <cp:revision>2</cp:revision>
  <dcterms:created xsi:type="dcterms:W3CDTF">2026-01-23T12:49:00Z</dcterms:created>
  <dcterms:modified xsi:type="dcterms:W3CDTF">2026-01-23T12:49:00Z</dcterms:modified>
  <dc:language>ru-RU</dc:language>
</cp:coreProperties>
</file>